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15C24" w14:textId="77777777" w:rsidR="009B354B" w:rsidRDefault="009B354B" w:rsidP="00376804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76804" w:rsidRPr="00E960BB">
        <w:rPr>
          <w:rFonts w:ascii="Corbel" w:hAnsi="Corbel"/>
          <w:bCs/>
          <w:i/>
        </w:rPr>
        <w:t xml:space="preserve">Załącznik nr 1.5 do Zarządzenia Rektora UR  nr </w:t>
      </w:r>
      <w:r w:rsidR="00376804">
        <w:rPr>
          <w:rFonts w:ascii="Corbel" w:hAnsi="Corbel"/>
          <w:bCs/>
          <w:i/>
        </w:rPr>
        <w:t>7</w:t>
      </w:r>
      <w:r w:rsidR="00376804" w:rsidRPr="00E960BB">
        <w:rPr>
          <w:rFonts w:ascii="Corbel" w:hAnsi="Corbel"/>
          <w:bCs/>
          <w:i/>
        </w:rPr>
        <w:t>/20</w:t>
      </w:r>
      <w:r w:rsidR="00376804">
        <w:rPr>
          <w:rFonts w:ascii="Corbel" w:hAnsi="Corbel"/>
          <w:bCs/>
          <w:i/>
        </w:rPr>
        <w:t>23</w:t>
      </w:r>
      <w:r w:rsidR="00376804">
        <w:rPr>
          <w:rFonts w:ascii="Corbel" w:hAnsi="Corbel"/>
          <w:bCs/>
          <w:i/>
        </w:rPr>
        <w:br/>
      </w:r>
      <w:r w:rsidR="00376804">
        <w:rPr>
          <w:rFonts w:ascii="Corbel" w:hAnsi="Corbel"/>
          <w:b/>
          <w:smallCaps/>
          <w:sz w:val="24"/>
          <w:szCs w:val="24"/>
        </w:rPr>
        <w:t xml:space="preserve">                         </w:t>
      </w:r>
      <w:r w:rsidR="00376804">
        <w:rPr>
          <w:rFonts w:ascii="Corbel" w:hAnsi="Corbel"/>
          <w:b/>
          <w:smallCaps/>
          <w:sz w:val="24"/>
          <w:szCs w:val="24"/>
        </w:rPr>
        <w:br/>
      </w:r>
    </w:p>
    <w:p w14:paraId="6A88A572" w14:textId="77777777" w:rsidR="00202715" w:rsidRDefault="00376804" w:rsidP="0020271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br/>
      </w:r>
      <w:r w:rsidR="009B354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30FCB">
        <w:rPr>
          <w:rFonts w:ascii="Corbel" w:hAnsi="Corbel"/>
          <w:i/>
          <w:smallCaps/>
          <w:sz w:val="24"/>
          <w:szCs w:val="24"/>
        </w:rPr>
        <w:t>2024-2029</w:t>
      </w:r>
    </w:p>
    <w:p w14:paraId="173FF47D" w14:textId="77777777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B930C5F" w14:textId="77777777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9C1CD2">
        <w:rPr>
          <w:rFonts w:ascii="Corbel" w:hAnsi="Corbel"/>
          <w:sz w:val="20"/>
          <w:szCs w:val="20"/>
        </w:rPr>
        <w:t>2</w:t>
      </w:r>
      <w:r w:rsidR="00030FC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30FCB">
        <w:rPr>
          <w:rFonts w:ascii="Corbel" w:hAnsi="Corbel"/>
          <w:sz w:val="20"/>
          <w:szCs w:val="20"/>
        </w:rPr>
        <w:t>8</w:t>
      </w:r>
    </w:p>
    <w:p w14:paraId="234E4B64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EFB9F" w14:textId="77777777" w:rsidR="009B354B" w:rsidRDefault="009B354B" w:rsidP="009B354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5511" w14:paraId="74EC684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B066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DDEC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B85511" w14:paraId="13D7D485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02FA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2DD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85511" w14:paraId="534D5713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AC16" w14:textId="77777777" w:rsidR="00B85511" w:rsidRDefault="00B85511" w:rsidP="005370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A38D" w14:textId="77777777"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             </w:t>
            </w:r>
          </w:p>
        </w:tc>
      </w:tr>
      <w:tr w:rsidR="00B85511" w14:paraId="263E7A15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6199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016D" w14:textId="77777777"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5511" w14:paraId="4B64B81C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360B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2999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2679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B85511" w14:paraId="13A44362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8CE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107C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5511" w14:paraId="487F9A33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D461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558C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5511" w14:paraId="72C1A5AE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7529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8F8C" w14:textId="77777777" w:rsidR="00B85511" w:rsidRDefault="00FC34D8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85511" w14:paraId="1B2CBE0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EA6B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B50E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B85511" w14:paraId="4CC00662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6B76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1F0" w14:textId="77777777" w:rsidR="00B85511" w:rsidRDefault="00B85511" w:rsidP="00D233C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85511" w14:paraId="74400520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C167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A87" w14:textId="77777777" w:rsidR="00B85511" w:rsidRDefault="005750B3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5511" w14:paraId="0CAA971F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A3A5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D711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B85511" w14:paraId="1D894C7F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41FA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2C3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7486CD1" w14:textId="77777777" w:rsidR="009B354B" w:rsidRDefault="009B354B" w:rsidP="009B35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0836F1B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4A4F33" w14:textId="77777777" w:rsidR="009B354B" w:rsidRDefault="009B354B" w:rsidP="009B354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CD430D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B354B" w14:paraId="4A7196B1" w14:textId="77777777" w:rsidTr="009B354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1660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7133C0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FC2D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49BA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3652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A1C8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6620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A5D4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8571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0835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B006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354B" w14:paraId="0318F026" w14:textId="77777777" w:rsidTr="009B354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ED34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A2C2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AF2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C20D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B95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1FA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DA54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C86A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8D1C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35B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6EC19189" w14:textId="77777777" w:rsidR="009B354B" w:rsidRDefault="009B354B" w:rsidP="009B35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F91A4C" w14:textId="77777777" w:rsidR="009B354B" w:rsidRDefault="009B354B" w:rsidP="009B354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72863C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3994A794" w14:textId="77777777"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16EDB54E" w14:textId="77777777"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B354B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8513153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1DDE1BA4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6CD717E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12BDC58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4F8B36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3288643F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4ED1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14:paraId="357A80D5" w14:textId="77777777" w:rsidR="00D233CE" w:rsidRDefault="00D233CE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37AD2AD8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951748B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14F0A455" w14:textId="77777777" w:rsidR="009B354B" w:rsidRDefault="009B354B" w:rsidP="009B354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EDD0E51" w14:textId="77777777" w:rsidR="009B354B" w:rsidRDefault="009B354B" w:rsidP="009B354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9B354B" w14:paraId="3D8EF437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3788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2ADB" w14:textId="1D1ACBC6" w:rsidR="009B354B" w:rsidRDefault="009B354B" w:rsidP="00D233CE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>
              <w:rPr>
                <w:rFonts w:ascii="Corbel" w:hAnsi="Corbel"/>
                <w:sz w:val="24"/>
              </w:rPr>
              <w:t>Ukazanie roli i miejsca socjologii edukacji</w:t>
            </w:r>
            <w:r w:rsidR="002274FD">
              <w:rPr>
                <w:rFonts w:ascii="Corbel" w:hAnsi="Corbel"/>
                <w:sz w:val="24"/>
              </w:rPr>
              <w:t xml:space="preserve"> w pracy nauczyciela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9B354B" w14:paraId="52A2110B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C7F6" w14:textId="77777777" w:rsidR="009B354B" w:rsidRDefault="009B354B" w:rsidP="00D233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E404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Zaprezentowanie genezy i funkcji tej dyscypliny wśród nauk społecznych i wzajemnych zależności z pedagogiką.</w:t>
            </w:r>
          </w:p>
        </w:tc>
      </w:tr>
      <w:tr w:rsidR="009B354B" w14:paraId="2FC1317A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B78D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7862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2193E20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A05CD37" w14:textId="77777777" w:rsidR="00C00CE6" w:rsidRDefault="00C00CE6" w:rsidP="00C00CE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898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83"/>
        <w:gridCol w:w="1709"/>
      </w:tblGrid>
      <w:tr w:rsidR="00C00CE6" w:rsidRPr="003E5E39" w14:paraId="52E89383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9F81D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 (efekt uczenia się)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02B5B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C0C17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Odniesienie do efektów  kierunkowych 1 </w:t>
            </w:r>
          </w:p>
        </w:tc>
      </w:tr>
      <w:tr w:rsidR="00C00CE6" w:rsidRPr="003E5E39" w14:paraId="15C98BAE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FFB88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EK_01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5C4F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F1C9E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PPiW.W01 </w:t>
            </w:r>
          </w:p>
        </w:tc>
      </w:tr>
      <w:tr w:rsidR="00C00CE6" w:rsidRPr="003E5E39" w14:paraId="2383DB8B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0411D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EK_02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EEA7F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6F8CF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PPiW.W04 </w:t>
            </w:r>
          </w:p>
        </w:tc>
      </w:tr>
      <w:tr w:rsidR="00C00CE6" w:rsidRPr="003E5E39" w14:paraId="50251699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A1BC5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EK_03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817DB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7E460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PPiW.U03 </w:t>
            </w:r>
          </w:p>
          <w:p w14:paraId="0D214372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PPiW.U12 </w:t>
            </w:r>
          </w:p>
        </w:tc>
      </w:tr>
      <w:tr w:rsidR="00C00CE6" w:rsidRPr="003E5E39" w14:paraId="170FC216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0CF89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EK_04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6A074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621E9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PPiW.Uo4 </w:t>
            </w:r>
          </w:p>
        </w:tc>
      </w:tr>
      <w:tr w:rsidR="00C00CE6" w:rsidRPr="003E5E39" w14:paraId="062CD2E9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58E26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EK_05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B1E92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0ADEA" w14:textId="77777777" w:rsidR="00C00CE6" w:rsidRPr="003E5E39" w:rsidRDefault="00C00CE6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PPiW.K06 </w:t>
            </w:r>
          </w:p>
        </w:tc>
      </w:tr>
    </w:tbl>
    <w:p w14:paraId="00A3F383" w14:textId="77777777" w:rsidR="00C00CE6" w:rsidRDefault="00C00CE6" w:rsidP="00C00C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C1AB47" w14:textId="77777777" w:rsidR="00C00CE6" w:rsidRDefault="00C00CE6" w:rsidP="00C00CE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CD48F99" w14:textId="77777777" w:rsidR="00C00CE6" w:rsidRDefault="00C00CE6" w:rsidP="00C00CE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195A688" w14:textId="77777777" w:rsidR="00C00CE6" w:rsidRDefault="00C00CE6" w:rsidP="00C00C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00CE6" w14:paraId="1392D5B4" w14:textId="77777777" w:rsidTr="00D8716F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53F" w14:textId="77777777" w:rsidR="00C00CE6" w:rsidRDefault="00C00CE6" w:rsidP="00D871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0CE6" w14:paraId="0A43C68B" w14:textId="77777777" w:rsidTr="00D8716F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1E1" w14:textId="77777777" w:rsidR="00C00CE6" w:rsidRPr="00F54607" w:rsidRDefault="00C00CE6" w:rsidP="00D8716F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Wprowadzenie do problemów socjologii edukacji</w:t>
            </w:r>
          </w:p>
          <w:p w14:paraId="0D439868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14:paraId="753A7754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>społeczny charakter procesu wychowawczego i edukacyjnego</w:t>
            </w:r>
          </w:p>
          <w:p w14:paraId="5F00CAC7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14:paraId="3C701194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socjologia edukacji a pedagogika społeczna</w:t>
            </w:r>
          </w:p>
          <w:p w14:paraId="325F3A13" w14:textId="77777777" w:rsidR="00C00CE6" w:rsidRPr="00A62D3B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C00CE6" w14:paraId="71AE2925" w14:textId="77777777" w:rsidTr="00D8716F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B97" w14:textId="77777777" w:rsidR="00C00CE6" w:rsidRPr="00F54607" w:rsidRDefault="00C00CE6" w:rsidP="00D8716F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14:paraId="43A6396E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środowiska</w:t>
            </w:r>
          </w:p>
          <w:p w14:paraId="5AF6082D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główne płaszczyzny środowiska</w:t>
            </w:r>
          </w:p>
          <w:p w14:paraId="2BA490AC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634EE6A8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64F3A281" w14:textId="77777777" w:rsidR="00C00CE6" w:rsidRPr="00A62D3B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C00CE6" w14:paraId="0079AE57" w14:textId="77777777" w:rsidTr="00D8716F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B11" w14:textId="77777777" w:rsidR="00C00CE6" w:rsidRPr="00F54607" w:rsidRDefault="00C00CE6" w:rsidP="00D8716F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1B4B60F0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35D28EC9" w14:textId="77777777" w:rsidR="00C00CE6" w:rsidRPr="00F54607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więź społeczna i funkcje rodziny</w:t>
            </w:r>
          </w:p>
          <w:p w14:paraId="69BC8651" w14:textId="77777777" w:rsidR="00C00CE6" w:rsidRPr="00A62D3B" w:rsidRDefault="00C00CE6" w:rsidP="00D8716F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1770134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A1423C" w14:textId="77777777" w:rsidR="009B354B" w:rsidRDefault="009B354B" w:rsidP="009B35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276BE0A" w14:textId="77777777" w:rsidR="009B354B" w:rsidRDefault="009B354B" w:rsidP="009B354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0657DAC" w14:textId="77777777" w:rsidR="009B354B" w:rsidRDefault="009B354B" w:rsidP="009B35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2E0889D1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E283" w14:textId="77777777" w:rsidR="009B354B" w:rsidRDefault="009B3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14:paraId="78D3CC00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F111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Wprowadzenie do problemów socjologii edukacji</w:t>
            </w:r>
          </w:p>
          <w:p w14:paraId="317BE05C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14:paraId="785AF253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społeczny charakter procesu wychowawczego i edukacyjnego</w:t>
            </w:r>
          </w:p>
          <w:p w14:paraId="540F503D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14:paraId="6A861830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socjologia edukacji a pedagogika społeczna</w:t>
            </w:r>
          </w:p>
          <w:p w14:paraId="355AD616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9B354B" w14:paraId="7748A2B3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1D2C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Środowisko społeczne jako ważny czynnik środowiska edukacyjnego i wychowawczego </w:t>
            </w:r>
          </w:p>
          <w:p w14:paraId="4CDA26E1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środowiska</w:t>
            </w:r>
          </w:p>
          <w:p w14:paraId="6812765A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główne płaszczyzny środowiska</w:t>
            </w:r>
          </w:p>
          <w:p w14:paraId="27535B20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43DB9AD7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5ACFF721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9B354B" w14:paraId="41CE50DF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9494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03CECCCF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2F93C8EA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więź społeczna i funkcje rodziny</w:t>
            </w:r>
          </w:p>
          <w:p w14:paraId="538F76D3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23015B26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06127602" w14:textId="77777777" w:rsidR="009B354B" w:rsidRDefault="009B354B" w:rsidP="009B35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D45DCDB" w14:textId="77777777" w:rsidR="009B354B" w:rsidRDefault="009B354B" w:rsidP="009B354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6294F5AB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84E4" w14:textId="77777777" w:rsidR="009B354B" w:rsidRDefault="009B3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B354B" w14:paraId="735AF58F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8EF8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14:paraId="5BF67E82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14:paraId="1A6026D5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14:paraId="75BE788A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14:paraId="27234B0F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14:paraId="10033AEB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14:paraId="66F81340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14:paraId="56075BD6" w14:textId="77777777" w:rsidR="009B354B" w:rsidRPr="00D233CE" w:rsidRDefault="009B354B" w:rsidP="00D233CE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9B354B" w14:paraId="2F6A2A6B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6078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14:paraId="15009644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14:paraId="52916ACB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14:paraId="2FBAE183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9B354B" w14:paraId="07553C07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DD2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14:paraId="2E86B7B0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14:paraId="0141AFD6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14:paraId="50035080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14:paraId="2A341B57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14:paraId="2C099992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9B354B" w14:paraId="58C7CFDF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EAE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14:paraId="6AC4C482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14:paraId="19B38D44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14:paraId="183F1BAF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14:paraId="4815C1F8" w14:textId="77777777" w:rsidR="009B354B" w:rsidRDefault="00D233CE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społeczna pozioma i </w:t>
            </w:r>
            <w:r w:rsidR="009B354B">
              <w:rPr>
                <w:rFonts w:ascii="Corbel" w:hAnsi="Corbel"/>
                <w:sz w:val="24"/>
                <w:szCs w:val="24"/>
              </w:rPr>
              <w:t>pionowa, ruchliwość</w:t>
            </w:r>
          </w:p>
          <w:p w14:paraId="05BF262E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międzypokoleniowa</w:t>
            </w:r>
          </w:p>
          <w:p w14:paraId="11287972" w14:textId="77777777" w:rsidR="009B354B" w:rsidRPr="00D233CE" w:rsidRDefault="009B354B" w:rsidP="00D233C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14:paraId="047E867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F93EA7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68E541B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16FA66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wykład z prezentacją multimedialną</w:t>
      </w:r>
    </w:p>
    <w:p w14:paraId="1290EAA2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14:paraId="5C85F894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A9E3AA8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33D004B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6411F1B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B530AD3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5203"/>
        <w:gridCol w:w="2087"/>
      </w:tblGrid>
      <w:tr w:rsidR="009B354B" w14:paraId="33F422FC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2D73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64BB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Metody oceny efektów uczenia sie</w:t>
            </w:r>
          </w:p>
          <w:p w14:paraId="3EBC0624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735C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Forma zajęć dydaktycznych</w:t>
            </w:r>
          </w:p>
          <w:p w14:paraId="330A79EC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(w, ćw, …)</w:t>
            </w:r>
          </w:p>
        </w:tc>
      </w:tr>
      <w:tr w:rsidR="009B354B" w14:paraId="1C10287B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E5A1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149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D885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3DDEEEC0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B912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BED4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C4F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5DA13577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239A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9B57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54FC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7EDD2C9D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020E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952D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9AC5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178DF452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73F5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274B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1EF1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19FAB842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F6D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C6F0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C9A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27B6AF5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C30E93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D12E183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4C5BA502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983" w14:textId="77777777" w:rsidR="00C00CE6" w:rsidRPr="001350C9" w:rsidRDefault="00C00CE6" w:rsidP="00C00C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Aktywność na zajęciach – dyskusja  na wybrany temat. Przygotowanie i wygłoszenie referatu – zaliczenie ćwiczeń.</w:t>
            </w:r>
          </w:p>
          <w:p w14:paraId="4BDFAD82" w14:textId="77777777" w:rsidR="00C00CE6" w:rsidRDefault="00C00CE6" w:rsidP="00C00C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Egzamin z treści objętych programem nauczania.</w:t>
            </w:r>
          </w:p>
          <w:p w14:paraId="5F1022AD" w14:textId="77777777" w:rsidR="00C00CE6" w:rsidRPr="00220F27" w:rsidRDefault="00C00CE6" w:rsidP="00C00C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20F27">
              <w:rPr>
                <w:rFonts w:ascii="Corbel" w:hAnsi="Corbel"/>
                <w:sz w:val="24"/>
                <w:szCs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90F2782" w14:textId="77777777" w:rsidR="00C00CE6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256B65D8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F27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42ECB1D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232E17E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5015CF6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058406F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4AC877D" w14:textId="77777777" w:rsidR="00C00CE6" w:rsidRPr="003D1232" w:rsidRDefault="00C00CE6" w:rsidP="00C00C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BBF7E44" w14:textId="79D6A3D8" w:rsidR="009B354B" w:rsidRDefault="00C00CE6" w:rsidP="00C00CE6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3D1232">
              <w:rPr>
                <w:rFonts w:ascii="Corbel" w:hAnsi="Corbel"/>
                <w:szCs w:val="24"/>
              </w:rPr>
              <w:t>2.0– wykazuje znajomość każdej z treści kształcenia poniżej 51%</w:t>
            </w:r>
          </w:p>
        </w:tc>
      </w:tr>
    </w:tbl>
    <w:p w14:paraId="72D6214E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C8968A" w14:textId="77777777" w:rsidR="009B354B" w:rsidRDefault="009B354B" w:rsidP="009B354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943E081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9B354B" w14:paraId="005FFBD3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B3CB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4132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354B" w14:paraId="77695D74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8D43" w14:textId="77777777" w:rsidR="009B354B" w:rsidRDefault="009B354B" w:rsidP="003768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4BB5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B354B" w14:paraId="40B14E6E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3157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6F8965E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8417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B354B" w14:paraId="7C808D7F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B743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F5755C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pracy pisemnej,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132D" w14:textId="77777777" w:rsidR="009B354B" w:rsidRDefault="009B354B" w:rsidP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F3F1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B354B" w14:paraId="328FEE23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D68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DAC2" w14:textId="77777777" w:rsidR="009B354B" w:rsidRDefault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9B354B" w14:paraId="6AC2A8CD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8E41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2FC7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8D2B390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563F752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7E2AD7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123E537F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354B" w14:paraId="57A60E2F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FD5C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A489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B354B" w14:paraId="1BEE140C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901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1C5E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783D84B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80D771C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79F3A0C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354B" w14:paraId="10C2CE84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C623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DF7F638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14:paraId="0CADA374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14:paraId="7C645C33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14:paraId="3132002C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14:paraId="663D6456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14:paraId="5C3F149A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14:paraId="7B063E38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14:paraId="398DE839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14:paraId="1412B28B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14:paraId="2C583E30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14:paraId="50567A0C" w14:textId="77777777" w:rsid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14:paraId="20950A8F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9B354B" w14:paraId="45639B11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6B22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790FAE45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CHEŁPA S., WITKOWSKI T., </w:t>
            </w:r>
            <w:r w:rsidRPr="00B85511">
              <w:rPr>
                <w:rFonts w:ascii="Corbel" w:hAnsi="Corbel"/>
                <w:i/>
                <w:sz w:val="24"/>
              </w:rPr>
              <w:t>Psychologia konfliktów</w:t>
            </w:r>
            <w:r w:rsidRPr="00B85511">
              <w:rPr>
                <w:rFonts w:ascii="Corbel" w:hAnsi="Corbel"/>
                <w:sz w:val="24"/>
              </w:rPr>
              <w:t>, Warszawa 1995</w:t>
            </w:r>
          </w:p>
          <w:p w14:paraId="699D92BC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POLAKOWSKA-KUJAWA J., </w:t>
            </w:r>
            <w:r w:rsidRPr="00B85511">
              <w:rPr>
                <w:rFonts w:ascii="Corbel" w:hAnsi="Corbel"/>
                <w:i/>
                <w:sz w:val="24"/>
              </w:rPr>
              <w:t>Socjologia ogólna</w:t>
            </w:r>
            <w:r w:rsidRPr="00B85511">
              <w:rPr>
                <w:rFonts w:ascii="Corbel" w:hAnsi="Corbel"/>
                <w:sz w:val="24"/>
              </w:rPr>
              <w:t>, Warszawa 1997</w:t>
            </w:r>
          </w:p>
          <w:p w14:paraId="5D13384C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MALIKOWSKI M., MARCZUK S., (red.), </w:t>
            </w:r>
            <w:r w:rsidRPr="00B85511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B85511">
              <w:rPr>
                <w:rFonts w:ascii="Corbel" w:hAnsi="Corbel"/>
                <w:sz w:val="24"/>
              </w:rPr>
              <w:t>, cz. I i II, WSSG – Tyczyn 1997</w:t>
            </w:r>
          </w:p>
        </w:tc>
      </w:tr>
    </w:tbl>
    <w:p w14:paraId="1940C4C1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4C8D0F7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7057E0F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8C1AF42" w14:textId="77777777" w:rsidR="009B354B" w:rsidRDefault="009B354B" w:rsidP="009B354B"/>
    <w:p w14:paraId="396D5E74" w14:textId="77777777"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DC2B" w14:textId="77777777" w:rsidR="00DB4288" w:rsidRDefault="00DB4288" w:rsidP="009B354B">
      <w:pPr>
        <w:spacing w:after="0" w:line="240" w:lineRule="auto"/>
      </w:pPr>
      <w:r>
        <w:separator/>
      </w:r>
    </w:p>
  </w:endnote>
  <w:endnote w:type="continuationSeparator" w:id="0">
    <w:p w14:paraId="2EB4B895" w14:textId="77777777" w:rsidR="00DB4288" w:rsidRDefault="00DB4288" w:rsidP="009B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6AFF6" w14:textId="77777777" w:rsidR="00DB4288" w:rsidRDefault="00DB4288" w:rsidP="009B354B">
      <w:pPr>
        <w:spacing w:after="0" w:line="240" w:lineRule="auto"/>
      </w:pPr>
      <w:r>
        <w:separator/>
      </w:r>
    </w:p>
  </w:footnote>
  <w:footnote w:type="continuationSeparator" w:id="0">
    <w:p w14:paraId="5328730A" w14:textId="77777777" w:rsidR="00DB4288" w:rsidRDefault="00DB4288" w:rsidP="009B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162D7"/>
    <w:multiLevelType w:val="hybridMultilevel"/>
    <w:tmpl w:val="6BE25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2914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90945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1727989207">
    <w:abstractNumId w:val="4"/>
  </w:num>
  <w:num w:numId="4" w16cid:durableId="530188434">
    <w:abstractNumId w:val="5"/>
  </w:num>
  <w:num w:numId="5" w16cid:durableId="1992756139">
    <w:abstractNumId w:val="3"/>
  </w:num>
  <w:num w:numId="6" w16cid:durableId="438255716">
    <w:abstractNumId w:val="1"/>
  </w:num>
  <w:num w:numId="7" w16cid:durableId="2050705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8D5"/>
    <w:rsid w:val="000306F2"/>
    <w:rsid w:val="00030FCB"/>
    <w:rsid w:val="00202715"/>
    <w:rsid w:val="00226798"/>
    <w:rsid w:val="002274FD"/>
    <w:rsid w:val="00376804"/>
    <w:rsid w:val="004C004D"/>
    <w:rsid w:val="00523DE1"/>
    <w:rsid w:val="005750B3"/>
    <w:rsid w:val="007421C6"/>
    <w:rsid w:val="00744242"/>
    <w:rsid w:val="008F3F1B"/>
    <w:rsid w:val="009200C9"/>
    <w:rsid w:val="009B354B"/>
    <w:rsid w:val="009B6E65"/>
    <w:rsid w:val="009C1CD2"/>
    <w:rsid w:val="00A517D3"/>
    <w:rsid w:val="00B3085E"/>
    <w:rsid w:val="00B85511"/>
    <w:rsid w:val="00C00CE6"/>
    <w:rsid w:val="00C338D5"/>
    <w:rsid w:val="00C95756"/>
    <w:rsid w:val="00CA0FFD"/>
    <w:rsid w:val="00CB5F36"/>
    <w:rsid w:val="00CE5F3C"/>
    <w:rsid w:val="00D233CE"/>
    <w:rsid w:val="00D851F4"/>
    <w:rsid w:val="00DB4288"/>
    <w:rsid w:val="00E24576"/>
    <w:rsid w:val="00E7584D"/>
    <w:rsid w:val="00E97A30"/>
    <w:rsid w:val="00EF426A"/>
    <w:rsid w:val="00F222A2"/>
    <w:rsid w:val="00F33959"/>
    <w:rsid w:val="00F72917"/>
    <w:rsid w:val="00FC34D8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47E41"/>
  <w15:docId w15:val="{7F754448-8886-4162-B4F8-F4F46C09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35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354B"/>
    <w:rPr>
      <w:rFonts w:ascii="Calibri" w:eastAsia="Calibri" w:hAnsi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B35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354B"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sid w:val="009B354B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9B354B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9B35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B35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35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35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B35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35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B35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3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AA00E-FA57-460E-A0AA-1648CD8B0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CC604-AF51-4A85-A9CA-89B10FD2C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26A16E-255C-4482-B0B6-C636F1FB2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1371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Barbara Lulek</cp:lastModifiedBy>
  <cp:revision>27</cp:revision>
  <dcterms:created xsi:type="dcterms:W3CDTF">2019-10-24T16:42:00Z</dcterms:created>
  <dcterms:modified xsi:type="dcterms:W3CDTF">2026-03-14T18:02:00Z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